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m="http://schemas.openxmlformats.org/officeDocument/2006/math" xmlns:mc="http://schemas.openxmlformats.org/markup-compatibility/2006" xmlns:o="urn:schemas-microsoft-com:office:office" xmlns:do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C51609" w:rsidRPr="00C51609" w:rsidRDefault="00DB582B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!--<wp:extent cx="4539615" cy="669600"/>-->
            <wp:extent cx="2160000" cy="669600"/>
            <!-- Ширина x 60 мм --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do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!--<a:ext cx="4539615" cy="669600"/>-->
                      <a:ext cx="2160000" cy="669600"/>
                      <!-- Ширина x 60 мм --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415"/>
        <w:ind w:right="-359"/>
        <w:jc w:val="right"/>
        <w:rPr>
          <w:rFonts w:ascii="Times New Roman" w:hAnsi="Times New Roman" w:cs="Times New Roman"/>
        </w:rPr>
      </w:pPr>
      <w:r/>
      <w:bookmarkStart w:id="0" w:name="_GoBack"/>
      <w:r/>
      <w:bookmarkEnd w:id="0"/>
      <w:r>
        <w:rPr>
          <w:rFonts w:ascii="Times New Roman" w:hAnsi="Times New Roman" w:cs="Times New Roman"/>
        </w:rPr>
        <w:t xml:space="preserve">Приложение 2</w:t>
      </w:r>
      <w:r/>
    </w:p>
    <w:p>
      <w:pPr>
        <w:pStyle w:val="41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</w:r>
      <w:r/>
    </w:p>
    <w:p>
      <w:pPr>
        <w:pStyle w:val="41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ОТЧЕТ</w:t>
      </w:r>
      <w:r/>
    </w:p>
    <w:p>
      <w:pPr>
        <w:pStyle w:val="41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использовании бюджетных ассигнований </w:t>
      </w:r>
      <w:r>
        <w:rPr>
          <w:rFonts w:ascii="Times New Roman" w:hAnsi="Times New Roman" w:cs="Times New Roman"/>
        </w:rPr>
        <w:t xml:space="preserve">бюджета</w:t>
      </w:r>
      <w:r>
        <w:rPr>
          <w:rFonts w:ascii="Times New Roman" w:hAnsi="Times New Roman" w:cs="Times New Roman"/>
        </w:rPr>
        <w:t xml:space="preserve"> ЗАТО Северск на реализацию муниципальной программы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t xml:space="preserve">«</w:t>
      </w:r>
      <w:r>
        <w:rPr>
          <w:rFonts w:ascii="Times New Roman" w:hAnsi="Times New Roman" w:cs="Times New Roman" w:eastAsia="Times New Roman"/>
          <w:sz w:val="20"/>
          <w:szCs w:val="20"/>
        </w:rPr>
        <w:t xml:space="preserve">Развитие информационного </w:t>
      </w:r>
      <w:r>
        <w:rPr>
          <w:rFonts w:ascii="Times New Roman" w:hAnsi="Times New Roman" w:cs="Times New Roman" w:eastAsia="Times New Roman"/>
          <w:sz w:val="20"/>
          <w:szCs w:val="20"/>
        </w:rPr>
        <w:t xml:space="preserve">общества</w:t>
      </w:r>
      <w:r>
        <w:rPr>
          <w:rFonts w:ascii="Times New Roman" w:hAnsi="Times New Roman" w:cs="Times New Roman" w:eastAsia="Times New Roman"/>
          <w:sz w:val="20"/>
          <w:szCs w:val="20"/>
        </w:rPr>
        <w:t xml:space="preserve"> </w:t>
      </w:r>
      <w:r>
        <w:rPr>
          <w:rFonts w:ascii="Times New Roman" w:hAnsi="Times New Roman" w:cs="Times New Roman" w:eastAsia="Times New Roman"/>
          <w:sz w:val="20"/>
          <w:szCs w:val="20"/>
        </w:rPr>
        <w:t xml:space="preserve">ЗАТО Северск»</w:t>
      </w:r>
      <w:r>
        <w:rPr>
          <w:rFonts w:ascii="Times New Roman" w:hAnsi="Times New Roman" w:cs="Times New Roman"/>
          <w:sz w:val="20"/>
          <w:szCs w:val="20"/>
        </w:rPr>
        <w:t xml:space="preserve"> на 2019 – 2021</w:t>
      </w:r>
      <w:r>
        <w:rPr>
          <w:rFonts w:ascii="Times New Roman" w:hAnsi="Times New Roman" w:cs="Times New Roman"/>
          <w:sz w:val="20"/>
          <w:szCs w:val="20"/>
        </w:rPr>
        <w:t xml:space="preserve"> годы</w:t>
      </w:r>
      <w:r/>
    </w:p>
    <w:p>
      <w:pPr>
        <w:pStyle w:val="41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2020 год</w:t>
      </w:r>
      <w:r/>
    </w:p>
    <w:p>
      <w:pPr>
        <w:pStyle w:val="415"/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highlight w:val="yellow"/>
        </w:rPr>
      </w:r>
      <w:r/>
    </w:p>
    <w:tbl>
      <w:tblPr>
        <w:tblW w:w="14563" w:type="dxa"/>
        <w:tblInd w:w="-289" w:type="dxa"/>
        <w:tblBorders>
          <w:left w:val="single" w:sz="4" w:space="0" w:color="auto"/>
          <w:top w:val="single" w:sz="4" w:space="0" w:color="auto"/>
          <w:right w:val="single" w:sz="4" w:space="0" w:color="auto"/>
          <w:insideV w:val="single" w:sz="4" w:space="0" w:color="auto"/>
          <w:insideH w:val="single" w:sz="4" w:space="0" w:color="auto"/>
        </w:tblBorders>
        <w:tblLayout w:type="fixed"/>
        <w:tblCellMar>
          <w:left w:w="0" w:type="dxa"/>
          <w:top w:w="75" w:type="dxa"/>
          <w:right w:w="0" w:type="dxa"/>
          <w:bottom w:w="75" w:type="dxa"/>
        </w:tblCellMar>
        <w:tblLook w:val="0000" w:firstRow="0" w:lastRow="0" w:firstColumn="0" w:lastColumn="0" w:noHBand="0" w:noVBand="0"/>
      </w:tblPr>
      <w:tblGrid>
        <w:gridCol w:w="705"/>
        <w:gridCol w:w="4115"/>
        <w:gridCol w:w="2666"/>
        <w:gridCol w:w="1813"/>
        <w:gridCol w:w="1842"/>
        <w:gridCol w:w="1979"/>
        <w:gridCol w:w="1443"/>
      </w:tblGrid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vMerge w:val="restart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</w:t>
            </w:r>
            <w:r/>
          </w:p>
          <w:p>
            <w:pPr>
              <w:pStyle w:val="415"/>
              <w:ind w:left="-555" w:firstLine="5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п/п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vMerge w:val="restart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Наименования подпрограмм, ведомственных целевых программ, основных мероприятий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vMerge w:val="restart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распорядители средств бюджетных средств (ГРБС) - ответственный исполнитель, соисполнитель, участник</w:t>
            </w:r>
            <w:r/>
          </w:p>
        </w:tc>
        <w:tc>
          <w:tcPr>
            <w:gridSpan w:val="3"/>
            <w:tcMar>
              <w:left w:w="62" w:type="dxa"/>
              <w:top w:w="102" w:type="dxa"/>
              <w:right w:w="62" w:type="dxa"/>
              <w:bottom w:w="102" w:type="dxa"/>
            </w:tcMar>
            <w:tcW w:w="5634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Расходы, (тыс. руб.)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443" w:type="dxa"/>
            <w:vMerge w:val="restart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выполнения, % (</w:t>
            </w:r>
            <w:hyperlink w:tooltip="#Par381" w:anchor="Par381" w:history="1">
              <w:r>
                <w:rPr>
                  <w:rFonts w:ascii="Times New Roman" w:hAnsi="Times New Roman" w:cs="Times New Roman"/>
                </w:rPr>
                <w:t xml:space="preserve">гр. 6</w:t>
              </w:r>
            </w:hyperlink>
            <w:r>
              <w:rPr>
                <w:rFonts w:ascii="Times New Roman" w:hAnsi="Times New Roman" w:cs="Times New Roman"/>
              </w:rPr>
              <w:t xml:space="preserve"> /    </w:t>
            </w:r>
            <w:hyperlink w:tooltip="#Par379" w:anchor="Par379" w:history="1">
              <w:r>
                <w:rPr>
                  <w:rFonts w:ascii="Times New Roman" w:hAnsi="Times New Roman" w:cs="Times New Roman"/>
                </w:rPr>
                <w:t xml:space="preserve">гр. 4</w:t>
              </w:r>
            </w:hyperlink>
            <w:r>
              <w:rPr>
                <w:rFonts w:ascii="Times New Roman" w:hAnsi="Times New Roman" w:cs="Times New Roman"/>
              </w:rPr>
              <w:t xml:space="preserve">)</w:t>
            </w:r>
            <w:r/>
          </w:p>
        </w:tc>
      </w:tr>
      <w:tr>
        <w:trPr>
          <w:trHeight w:val="982"/>
        </w:trPr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vMerge w:val="continue"/>
            <w:textDirection w:val="lrTb"/>
            <w:noWrap w:val="false"/>
          </w:tcPr>
          <w:p>
            <w:pPr>
              <w:pStyle w:val="4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vMerge w:val="continue"/>
            <w:textDirection w:val="lrTb"/>
            <w:noWrap w:val="false"/>
          </w:tcPr>
          <w:p>
            <w:pPr>
              <w:pStyle w:val="4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vMerge w:val="continue"/>
            <w:textDirection w:val="lrTb"/>
            <w:noWrap w:val="false"/>
          </w:tcPr>
          <w:p>
            <w:pPr>
              <w:pStyle w:val="4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813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бюджетных ассигнований </w:t>
            </w:r>
            <w:r/>
          </w:p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2020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842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передано бюджетных ассигнований за отчетный период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979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исполнение (кассовые расходы) за отчетный период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443" w:type="dxa"/>
            <w:vMerge w:val="continue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spacing w:lineRule="auto" w:line="240" w:after="0"/>
        <w:rPr>
          <w:sz w:val="20"/>
          <w:szCs w:val="20"/>
        </w:rPr>
      </w:pPr>
      <w:r>
        <w:rPr>
          <w:sz w:val="20"/>
          <w:szCs w:val="20"/>
        </w:rPr>
      </w:r>
      <w:r/>
    </w:p>
    <w:tbl>
      <w:tblPr>
        <w:tblW w:w="14563" w:type="dxa"/>
        <w:tblInd w:w="-289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CellMar>
          <w:left w:w="0" w:type="dxa"/>
          <w:top w:w="75" w:type="dxa"/>
          <w:right w:w="0" w:type="dxa"/>
          <w:bottom w:w="75" w:type="dxa"/>
        </w:tblCellMar>
        <w:tblLook w:val="0000" w:firstRow="0" w:lastRow="0" w:firstColumn="0" w:lastColumn="0" w:noHBand="0" w:noVBand="0"/>
      </w:tblPr>
      <w:tblGrid>
        <w:gridCol w:w="705"/>
        <w:gridCol w:w="4115"/>
        <w:gridCol w:w="2666"/>
        <w:gridCol w:w="1813"/>
        <w:gridCol w:w="1842"/>
        <w:gridCol w:w="12"/>
        <w:gridCol w:w="1967"/>
        <w:gridCol w:w="22"/>
        <w:gridCol w:w="1421"/>
      </w:tblGrid>
      <w:tr>
        <w:trPr>
          <w:tblHeader/>
        </w:trPr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813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/>
            <w:bookmarkStart w:id="1" w:name="Par379"/>
            <w:r/>
            <w:bookmarkEnd w:id="1"/>
            <w:r>
              <w:rPr>
                <w:rFonts w:ascii="Times New Roman" w:hAnsi="Times New Roman" w:cs="Times New Roman"/>
              </w:rPr>
              <w:t xml:space="preserve">4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842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/>
          </w:p>
        </w:tc>
        <w:tc>
          <w:tcPr>
            <w:gridSpan w:val="2"/>
            <w:tcMar>
              <w:left w:w="62" w:type="dxa"/>
              <w:top w:w="102" w:type="dxa"/>
              <w:right w:w="62" w:type="dxa"/>
              <w:bottom w:w="102" w:type="dxa"/>
            </w:tcMar>
            <w:tcW w:w="1979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/>
            <w:bookmarkStart w:id="2" w:name="Par381"/>
            <w:r/>
            <w:bookmarkEnd w:id="2"/>
            <w:r>
              <w:rPr>
                <w:rFonts w:ascii="Times New Roman" w:hAnsi="Times New Roman" w:cs="Times New Roman"/>
              </w:rPr>
              <w:t xml:space="preserve">6</w:t>
            </w:r>
            <w:r/>
          </w:p>
        </w:tc>
        <w:tc>
          <w:tcPr>
            <w:gridSpan w:val="2"/>
            <w:tcMar>
              <w:left w:w="62" w:type="dxa"/>
              <w:top w:w="102" w:type="dxa"/>
              <w:right w:w="62" w:type="dxa"/>
              <w:bottom w:w="102" w:type="dxa"/>
            </w:tcMar>
            <w:tcW w:w="1443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/>
          </w:p>
        </w:tc>
      </w:tr>
      <w:tr>
        <w:trPr/>
        <w:tc>
          <w:tcPr>
            <w:gridSpan w:val="9"/>
            <w:tcMar>
              <w:left w:w="62" w:type="dxa"/>
              <w:top w:w="102" w:type="dxa"/>
              <w:right w:w="62" w:type="dxa"/>
              <w:bottom w:w="102" w:type="dxa"/>
            </w:tcMar>
            <w:tcW w:w="14563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Подпрограмма 1 </w:t>
            </w:r>
            <w:r>
              <w:rPr>
                <w:rFonts w:ascii="Times New Roman" w:hAnsi="Times New Roman" w:cs="Times New Roman"/>
              </w:rPr>
              <w:t xml:space="preserve">Подпрограмма 1 «Информационная инфраструктура </w:t>
            </w:r>
            <w:r>
              <w:rPr>
                <w:rFonts w:ascii="Times New Roman" w:hAnsi="Times New Roman" w:cs="Times New Roman"/>
              </w:rPr>
              <w:t xml:space="preserve">в</w:t>
            </w:r>
            <w:r>
              <w:rPr>
                <w:rFonts w:ascii="Times New Roman" w:hAnsi="Times New Roman" w:cs="Times New Roman"/>
              </w:rPr>
              <w:t xml:space="preserve"> ЗАТО Северск»</w:t>
            </w:r>
            <w:r/>
          </w:p>
        </w:tc>
      </w:tr>
      <w:tr>
        <w:trPr>
          <w:trHeight w:val="581"/>
        </w:trPr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мероприятие. Формирование инфраструктуры муниципальной информационной системы на базе муниципального центра обработки </w:t>
            </w:r>
            <w:r>
              <w:rPr>
                <w:rFonts w:ascii="Times New Roman" w:hAnsi="Times New Roman" w:cs="Times New Roman"/>
              </w:rPr>
              <w:t xml:space="preserve">данных</w:t>
            </w:r>
            <w:r>
              <w:rPr>
                <w:rFonts w:ascii="Times New Roman" w:hAnsi="Times New Roman" w:cs="Times New Roman"/>
              </w:rPr>
              <w:t xml:space="preserve"> ЗАТО Северск, в </w:t>
            </w:r>
            <w:r>
              <w:rPr>
                <w:rFonts w:ascii="Times New Roman" w:hAnsi="Times New Roman" w:cs="Times New Roman"/>
              </w:rPr>
              <w:t xml:space="preserve">т.ч</w:t>
            </w:r>
            <w:r>
              <w:rPr>
                <w:rFonts w:ascii="Times New Roman" w:hAnsi="Times New Roman" w:cs="Times New Roman"/>
              </w:rPr>
              <w:t xml:space="preserve">.: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813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701,98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842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701,97</w:t>
            </w:r>
            <w:r/>
          </w:p>
        </w:tc>
        <w:tc>
          <w:tcPr>
            <w:gridSpan w:val="3"/>
            <w:tcMar>
              <w:left w:w="62" w:type="dxa"/>
              <w:top w:w="102" w:type="dxa"/>
              <w:right w:w="62" w:type="dxa"/>
              <w:bottom w:w="102" w:type="dxa"/>
            </w:tcMar>
            <w:tcW w:w="200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701,97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</w:t>
            </w:r>
            <w:r/>
          </w:p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581"/>
        </w:trPr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1.1.1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системы обработки и управления данными информационных систем в качестве ядра муниципального центра обработки </w:t>
            </w:r>
            <w:r>
              <w:rPr>
                <w:rFonts w:ascii="Times New Roman" w:hAnsi="Times New Roman" w:cs="Times New Roman"/>
              </w:rPr>
              <w:t xml:space="preserve">данных</w:t>
            </w:r>
            <w:r>
              <w:rPr>
                <w:rFonts w:ascii="Times New Roman" w:hAnsi="Times New Roman" w:cs="Times New Roman"/>
              </w:rPr>
              <w:t xml:space="preserve"> ЗАТО Северск, в </w:t>
            </w:r>
            <w:r>
              <w:rPr>
                <w:rFonts w:ascii="Times New Roman" w:hAnsi="Times New Roman" w:cs="Times New Roman"/>
              </w:rPr>
              <w:t xml:space="preserve">т.ч</w:t>
            </w:r>
            <w:r>
              <w:rPr>
                <w:rFonts w:ascii="Times New Roman" w:hAnsi="Times New Roman" w:cs="Times New Roman"/>
              </w:rPr>
              <w:t xml:space="preserve">. поставка средств вычислительной техники серверной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813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701,98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842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701,97</w:t>
            </w:r>
            <w:r/>
          </w:p>
        </w:tc>
        <w:tc>
          <w:tcPr>
            <w:gridSpan w:val="3"/>
            <w:tcMar>
              <w:left w:w="62" w:type="dxa"/>
              <w:top w:w="102" w:type="dxa"/>
              <w:right w:w="62" w:type="dxa"/>
              <w:bottom w:w="102" w:type="dxa"/>
            </w:tcMar>
            <w:tcW w:w="200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701,97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</w:t>
            </w:r>
            <w:r/>
          </w:p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gridSpan w:val="2"/>
            <w:tcMar>
              <w:left w:w="62" w:type="dxa"/>
              <w:top w:w="102" w:type="dxa"/>
              <w:right w:w="62" w:type="dxa"/>
              <w:bottom w:w="102" w:type="dxa"/>
            </w:tcMar>
            <w:tcW w:w="4820" w:type="dxa"/>
            <w:textDirection w:val="lrTb"/>
            <w:noWrap w:val="false"/>
          </w:tcPr>
          <w:p>
            <w:pPr>
              <w:pStyle w:val="4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по подпрограмме 1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813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701,98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842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701,97</w:t>
            </w:r>
            <w:r/>
          </w:p>
        </w:tc>
        <w:tc>
          <w:tcPr>
            <w:gridSpan w:val="3"/>
            <w:tcMar>
              <w:left w:w="62" w:type="dxa"/>
              <w:top w:w="102" w:type="dxa"/>
              <w:right w:w="62" w:type="dxa"/>
              <w:bottom w:w="102" w:type="dxa"/>
            </w:tcMar>
            <w:tcW w:w="200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701,97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</w:t>
            </w:r>
            <w:r/>
          </w:p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gridSpan w:val="9"/>
            <w:tcMar>
              <w:left w:w="62" w:type="dxa"/>
              <w:top w:w="102" w:type="dxa"/>
              <w:right w:w="62" w:type="dxa"/>
              <w:bottom w:w="102" w:type="dxa"/>
            </w:tcMar>
            <w:tcW w:w="14563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"Информационная безопасность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Северск"</w:t>
            </w:r>
            <w:r/>
          </w:p>
        </w:tc>
      </w:tr>
      <w:tr>
        <w:trPr/>
        <w:tc>
          <w:tcPr>
            <w:shd w:val="clear" w:color="auto" w:fill="auto"/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</w:t>
            </w:r>
            <w:r/>
          </w:p>
        </w:tc>
        <w:tc>
          <w:tcPr>
            <w:shd w:val="clear" w:color="auto" w:fill="auto"/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мероприятие. Комплекс мероприятий, направленных на модернизацию защищенной информационной инфраструктуры органов местного самоуправления и муниципальных </w:t>
            </w:r>
            <w:r>
              <w:rPr>
                <w:rFonts w:ascii="Times New Roman" w:hAnsi="Times New Roman" w:cs="Times New Roman"/>
              </w:rPr>
              <w:t xml:space="preserve">организаций</w:t>
            </w:r>
            <w:r>
              <w:rPr>
                <w:rFonts w:ascii="Times New Roman" w:hAnsi="Times New Roman" w:cs="Times New Roman"/>
              </w:rPr>
              <w:t xml:space="preserve"> ЗАТО Северск, в </w:t>
            </w:r>
            <w:r>
              <w:rPr>
                <w:rFonts w:ascii="Times New Roman" w:hAnsi="Times New Roman" w:cs="Times New Roman"/>
              </w:rPr>
              <w:t xml:space="preserve">т.ч</w:t>
            </w:r>
            <w:r>
              <w:rPr>
                <w:rFonts w:ascii="Times New Roman" w:hAnsi="Times New Roman" w:cs="Times New Roman"/>
              </w:rPr>
              <w:t xml:space="preserve">. мероприятий по выявлению и устранению несоответствий требованиям регуляторов по информационной безопасности, в </w:t>
            </w:r>
            <w:r>
              <w:rPr>
                <w:rFonts w:ascii="Times New Roman" w:hAnsi="Times New Roman" w:cs="Times New Roman"/>
              </w:rPr>
              <w:t xml:space="preserve">т.ч</w:t>
            </w:r>
            <w:r>
              <w:rPr>
                <w:rFonts w:ascii="Times New Roman" w:hAnsi="Times New Roman" w:cs="Times New Roman"/>
              </w:rPr>
              <w:t xml:space="preserve">.:</w:t>
            </w:r>
            <w:r/>
          </w:p>
        </w:tc>
        <w:tc>
          <w:tcPr>
            <w:shd w:val="clear" w:color="auto" w:fill="auto"/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W w:w="1813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3 297,99 &lt;*&gt;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3 297,98 &lt;*&gt;</w:t>
            </w:r>
            <w:r/>
          </w:p>
        </w:tc>
        <w:tc>
          <w:tcPr>
            <w:gridSpan w:val="3"/>
            <w:tcW w:w="20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3 297,98 &lt;*&gt;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</w:t>
            </w:r>
            <w:r/>
          </w:p>
        </w:tc>
      </w:tr>
      <w:tr>
        <w:trPr/>
        <w:tc>
          <w:tcPr>
            <w:shd w:val="clear" w:color="auto" w:fill="auto"/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2.2.2</w:t>
            </w:r>
            <w:r/>
          </w:p>
        </w:tc>
        <w:tc>
          <w:tcPr>
            <w:shd w:val="clear" w:color="auto" w:fill="auto"/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 по приведению в соответствие требованиям стандартов безопасного информационного взаимодействия в объектах информатизации органов местного самоуправления и муниципальных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  <w:r/>
          </w:p>
        </w:tc>
        <w:tc>
          <w:tcPr>
            <w:shd w:val="clear" w:color="auto" w:fill="auto"/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W w:w="1813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2 427,41 &lt;*&gt;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2 427,40 &lt;*&gt;</w:t>
            </w:r>
            <w:r/>
          </w:p>
        </w:tc>
        <w:tc>
          <w:tcPr>
            <w:gridSpan w:val="3"/>
            <w:tcW w:w="20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2 427,40 &lt;*&gt;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</w:t>
            </w:r>
            <w:r/>
          </w:p>
        </w:tc>
      </w:tr>
      <w:tr>
        <w:trPr/>
        <w:tc>
          <w:tcPr>
            <w:shd w:val="clear" w:color="auto" w:fill="auto"/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2.2.5</w:t>
            </w:r>
            <w:r/>
          </w:p>
        </w:tc>
        <w:tc>
          <w:tcPr>
            <w:shd w:val="clear" w:color="auto" w:fill="auto"/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защиты локальной сети между территориально распределенными органами местного самоуправления и муниципальными организациями, относящимися к муниципальной информационной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Северск, посредством технологии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туннелирования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трафика для обеспечения возможности централизованного сбора, хранения и использования информации</w:t>
            </w:r>
            <w:r/>
          </w:p>
        </w:tc>
        <w:tc>
          <w:tcPr>
            <w:shd w:val="clear" w:color="auto" w:fill="auto"/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W w:w="181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870,58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870,58</w:t>
            </w:r>
            <w:r/>
          </w:p>
        </w:tc>
        <w:tc>
          <w:tcPr>
            <w:gridSpan w:val="3"/>
            <w:tcW w:w="20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870,58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</w:t>
            </w:r>
            <w:r/>
          </w:p>
        </w:tc>
      </w:tr>
      <w:tr>
        <w:trPr/>
        <w:tc>
          <w:tcPr>
            <w:gridSpan w:val="2"/>
            <w:shd w:val="clear" w:color="auto" w:fill="auto"/>
            <w:tcMar>
              <w:left w:w="62" w:type="dxa"/>
              <w:top w:w="102" w:type="dxa"/>
              <w:right w:w="62" w:type="dxa"/>
              <w:bottom w:w="102" w:type="dxa"/>
            </w:tcMar>
            <w:tcW w:w="4820" w:type="dxa"/>
            <w:textDirection w:val="lrTb"/>
            <w:noWrap w:val="false"/>
          </w:tcPr>
          <w:p>
            <w:pPr>
              <w:pStyle w:val="4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по подпрограмме 2</w:t>
            </w:r>
            <w:r/>
          </w:p>
        </w:tc>
        <w:tc>
          <w:tcPr>
            <w:shd w:val="clear" w:color="auto" w:fill="auto"/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W w:w="1813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3 297,99 &lt;*&gt;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3 297,98 &lt;*&gt;</w:t>
            </w:r>
            <w:r/>
          </w:p>
        </w:tc>
        <w:tc>
          <w:tcPr>
            <w:gridSpan w:val="3"/>
            <w:tcW w:w="20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3 297,98 &lt;*&gt;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</w:t>
            </w:r>
            <w:r/>
          </w:p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  <w:p>
            <w:pPr>
              <w:pStyle w:val="4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gridSpan w:val="9"/>
            <w:tcMar>
              <w:left w:w="62" w:type="dxa"/>
              <w:top w:w="102" w:type="dxa"/>
              <w:right w:w="62" w:type="dxa"/>
              <w:bottom w:w="102" w:type="dxa"/>
            </w:tcMar>
            <w:tcW w:w="14563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3 "Эффективное управление с использованием информационно-телекоммуникационных технологий </w:t>
            </w:r>
            <w:r>
              <w:rPr>
                <w:rFonts w:ascii="Times New Roman" w:hAnsi="Times New Roman" w:cs="Times New Roman"/>
              </w:rPr>
              <w:t xml:space="preserve">в</w:t>
            </w:r>
            <w:r>
              <w:rPr>
                <w:rFonts w:ascii="Times New Roman" w:hAnsi="Times New Roman" w:cs="Times New Roman"/>
              </w:rPr>
              <w:t xml:space="preserve"> ЗАТО Северск"</w:t>
            </w:r>
            <w:r/>
          </w:p>
          <w:p>
            <w:pPr>
              <w:pStyle w:val="4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3.1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Основное мероприятие. Комплекс мероприятий, направленных на создание интеллектуальной многоуровневой информационной системы управления безопасностью муниципального образования за счет прогнозирования, реагирования, мониторинга, в </w:t>
            </w:r>
            <w:r>
              <w:rPr>
                <w:rFonts w:ascii="Times New Roman" w:hAnsi="Times New Roman" w:cs="Times New Roman"/>
              </w:rPr>
              <w:t xml:space="preserve">т.ч</w:t>
            </w:r>
            <w:r>
              <w:rPr>
                <w:rFonts w:ascii="Times New Roman" w:hAnsi="Times New Roman" w:cs="Times New Roman"/>
              </w:rPr>
              <w:t xml:space="preserve">.: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W w:w="1813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565,70</w:t>
            </w:r>
            <w:r/>
          </w:p>
        </w:tc>
        <w:tc>
          <w:tcPr>
            <w:gridSpan w:val="2"/>
            <w:tcW w:w="1854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565,70</w:t>
            </w:r>
            <w:r/>
          </w:p>
        </w:tc>
        <w:tc>
          <w:tcPr>
            <w:gridSpan w:val="2"/>
            <w:tcW w:w="1989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565,70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100</w:t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3.1.3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единой информационной системы автоматизированного заказа и управления пропусками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W w:w="1813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565,70</w:t>
            </w:r>
            <w:r/>
          </w:p>
        </w:tc>
        <w:tc>
          <w:tcPr>
            <w:gridSpan w:val="2"/>
            <w:tcW w:w="1854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565,70</w:t>
            </w:r>
            <w:r/>
          </w:p>
        </w:tc>
        <w:tc>
          <w:tcPr>
            <w:gridSpan w:val="2"/>
            <w:tcW w:w="1989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565,70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100</w:t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3.3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мероприятие. Комплекс мероприятий по обеспечению доступности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гражданам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большинства массовых социально значимых муниципальных услуг и сервисов,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т.ч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предоставляемых исключительно в цифровом виде, без необходимости личного посещения органов местного самоуправления,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т.ч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.: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W w:w="18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450,00</w:t>
            </w:r>
            <w:r/>
          </w:p>
        </w:tc>
        <w:tc>
          <w:tcPr>
            <w:gridSpan w:val="2"/>
            <w:tcW w:w="18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450,00</w:t>
            </w:r>
            <w:r/>
          </w:p>
        </w:tc>
        <w:tc>
          <w:tcPr>
            <w:gridSpan w:val="2"/>
            <w:tcW w:w="198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450,00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100</w:t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3.3.1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заявителей возможностью обращаться за получением государственных и муниципальных услуг, получать результат указанных услуг и уведомления о ходе их предоставления посредством различных форм и способов доступа,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т.ч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посредством Единого портала государственных и муниципальных услуг (функций), регионального и муниципального порталов, а также посредством многофункционального центра предоставления государственных и муниципальных услуг (далее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многофункциональный центр),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т.ч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за счет автоматизации предоставления муниципальных услуг на официальном интернет-сайте Администрации ЗАТО Северск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W w:w="18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450,00</w:t>
            </w:r>
            <w:r/>
          </w:p>
        </w:tc>
        <w:tc>
          <w:tcPr>
            <w:gridSpan w:val="2"/>
            <w:tcW w:w="18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450,00</w:t>
            </w:r>
            <w:r/>
          </w:p>
        </w:tc>
        <w:tc>
          <w:tcPr>
            <w:gridSpan w:val="2"/>
            <w:tcW w:w="198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450,00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100</w:t>
            </w:r>
            <w:r/>
          </w:p>
        </w:tc>
      </w:tr>
      <w:tr>
        <w:trPr/>
        <w:tc>
          <w:tcPr>
            <w:gridSpan w:val="2"/>
            <w:tcMar>
              <w:left w:w="62" w:type="dxa"/>
              <w:top w:w="102" w:type="dxa"/>
              <w:right w:w="62" w:type="dxa"/>
              <w:bottom w:w="102" w:type="dxa"/>
            </w:tcMar>
            <w:tcW w:w="4820" w:type="dxa"/>
            <w:textDirection w:val="lrTb"/>
            <w:noWrap w:val="false"/>
          </w:tcPr>
          <w:p>
            <w:pPr>
              <w:pStyle w:val="41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Итого по подпрограмме</w:t>
            </w:r>
            <w:r>
              <w:rPr>
                <w:rFonts w:ascii="Times New Roman" w:hAnsi="Times New Roman" w:cs="Times New Roman"/>
              </w:rPr>
              <w:t xml:space="preserve"> 3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W w:w="1813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1 015,70</w:t>
            </w:r>
            <w:r/>
          </w:p>
        </w:tc>
        <w:tc>
          <w:tcPr>
            <w:gridSpan w:val="2"/>
            <w:tcW w:w="1854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0,00</w:t>
            </w:r>
            <w:r/>
          </w:p>
        </w:tc>
        <w:tc>
          <w:tcPr>
            <w:gridSpan w:val="2"/>
            <w:tcW w:w="1989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1 015,70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100</w:t>
            </w:r>
            <w:r/>
          </w:p>
        </w:tc>
      </w:tr>
      <w:tr>
        <w:trPr/>
        <w:tc>
          <w:tcPr>
            <w:gridSpan w:val="9"/>
            <w:tcMar>
              <w:left w:w="62" w:type="dxa"/>
              <w:top w:w="102" w:type="dxa"/>
              <w:right w:w="62" w:type="dxa"/>
              <w:bottom w:w="102" w:type="dxa"/>
            </w:tcMar>
            <w:tcW w:w="14563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4 "Информатизация в социальной и экономической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сферах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Северск"</w:t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4.1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Основное мероприятие. Информатизация посредством автоматизации социально -экономической сферы деятельности 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</w:t>
            </w:r>
            <w:r>
              <w:rPr>
                <w:rFonts w:ascii="Times New Roman" w:hAnsi="Times New Roman" w:cs="Times New Roman"/>
              </w:rPr>
              <w:t xml:space="preserve"> ЗАТО Северск, в </w:t>
            </w:r>
            <w:r>
              <w:rPr>
                <w:rFonts w:ascii="Times New Roman" w:hAnsi="Times New Roman" w:cs="Times New Roman"/>
              </w:rPr>
              <w:t xml:space="preserve">т.ч</w:t>
            </w:r>
            <w:r>
              <w:rPr>
                <w:rFonts w:ascii="Times New Roman" w:hAnsi="Times New Roman" w:cs="Times New Roman"/>
              </w:rPr>
              <w:t xml:space="preserve">.: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W w:w="1813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76,83</w:t>
            </w:r>
            <w:r/>
          </w:p>
        </w:tc>
        <w:tc>
          <w:tcPr>
            <w:gridSpan w:val="2"/>
            <w:tcW w:w="1854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24,00</w:t>
            </w:r>
            <w:r/>
          </w:p>
        </w:tc>
        <w:tc>
          <w:tcPr>
            <w:gridSpan w:val="2"/>
            <w:tcW w:w="1989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24,00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31</w:t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5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4.1.1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4115" w:type="dxa"/>
            <w:textDirection w:val="lrTb"/>
            <w:noWrap w:val="false"/>
          </w:tcPr>
          <w:p>
            <w:pPr>
              <w:spacing w:lineRule="auto" w:line="2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населения возможностью активного участия в социальной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Северск, своевременное информирование о событиях и мероприятиях, предоставление полезных электронных сервисов во всех приоритетных сферах жизнедеятельности с использованием информационно-телекоммуникационной сети "Интернет" и мобильных средств связи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W w:w="1813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76,83</w:t>
            </w:r>
            <w:r/>
          </w:p>
        </w:tc>
        <w:tc>
          <w:tcPr>
            <w:gridSpan w:val="2"/>
            <w:tcW w:w="1854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24,00</w:t>
            </w:r>
            <w:r/>
          </w:p>
        </w:tc>
        <w:tc>
          <w:tcPr>
            <w:gridSpan w:val="2"/>
            <w:tcW w:w="1989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24,00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31</w:t>
            </w:r>
            <w:r/>
          </w:p>
        </w:tc>
      </w:tr>
      <w:tr>
        <w:trPr/>
        <w:tc>
          <w:tcPr>
            <w:gridSpan w:val="2"/>
            <w:tcMar>
              <w:left w:w="62" w:type="dxa"/>
              <w:top w:w="102" w:type="dxa"/>
              <w:right w:w="62" w:type="dxa"/>
              <w:bottom w:w="102" w:type="dxa"/>
            </w:tcMar>
            <w:tcW w:w="4820" w:type="dxa"/>
            <w:textDirection w:val="lrTb"/>
            <w:noWrap w:val="false"/>
          </w:tcPr>
          <w:p>
            <w:pPr>
              <w:pStyle w:val="41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Итого по подпрограмме</w:t>
            </w:r>
            <w:r>
              <w:rPr>
                <w:rFonts w:ascii="Times New Roman" w:hAnsi="Times New Roman" w:cs="Times New Roman"/>
              </w:rPr>
              <w:t xml:space="preserve"> 4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W w:w="1813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76,83</w:t>
            </w:r>
            <w:r/>
          </w:p>
        </w:tc>
        <w:tc>
          <w:tcPr>
            <w:gridSpan w:val="2"/>
            <w:tcW w:w="1854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24,00</w:t>
            </w:r>
            <w:r/>
          </w:p>
        </w:tc>
        <w:tc>
          <w:tcPr>
            <w:gridSpan w:val="2"/>
            <w:tcW w:w="1989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24,00</w:t>
            </w:r>
            <w:r/>
          </w:p>
        </w:tc>
        <w:tc>
          <w:tcPr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31</w:t>
            </w:r>
            <w:r/>
          </w:p>
        </w:tc>
      </w:tr>
      <w:tr>
        <w:trPr/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820" w:type="dxa"/>
            <w:textDirection w:val="lrTb"/>
            <w:noWrap w:val="false"/>
          </w:tcPr>
          <w:p>
            <w:pPr>
              <w:pStyle w:val="4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по подпрограмме</w:t>
            </w:r>
            <w:r>
              <w:rPr>
                <w:rFonts w:ascii="Times New Roman" w:hAnsi="Times New Roman" w:cs="Times New Roman"/>
              </w:rPr>
              <w:t xml:space="preserve"> 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</w:t>
            </w:r>
            <w:r>
              <w:rPr>
                <w:rFonts w:ascii="Times New Roman" w:hAnsi="Times New Roman" w:cs="Times New Roman"/>
              </w:rPr>
              <w:t xml:space="preserve"> ЗАТО Северск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8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5 092,50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854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5 039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,50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9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5 039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,50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421" w:type="dxa"/>
            <w:textDirection w:val="lrTb"/>
            <w:noWrap w:val="false"/>
          </w:tcPr>
          <w:p>
            <w:pPr>
              <w:pStyle w:val="4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99</w:t>
            </w:r>
            <w:r/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411"/>
    <w:next w:val="411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412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411"/>
    <w:next w:val="411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412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411"/>
    <w:next w:val="411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412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411"/>
    <w:next w:val="411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412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411"/>
    <w:next w:val="411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412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411"/>
    <w:next w:val="411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412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411"/>
    <w:next w:val="411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412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411"/>
    <w:next w:val="411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412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411"/>
    <w:next w:val="411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412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411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411"/>
    <w:next w:val="411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412"/>
    <w:link w:val="32"/>
    <w:uiPriority w:val="10"/>
    <w:rPr>
      <w:sz w:val="48"/>
      <w:szCs w:val="48"/>
    </w:rPr>
  </w:style>
  <w:style w:type="paragraph" w:styleId="34">
    <w:name w:val="Subtitle"/>
    <w:basedOn w:val="411"/>
    <w:next w:val="411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412"/>
    <w:link w:val="34"/>
    <w:uiPriority w:val="11"/>
    <w:rPr>
      <w:sz w:val="24"/>
      <w:szCs w:val="24"/>
    </w:rPr>
  </w:style>
  <w:style w:type="paragraph" w:styleId="36">
    <w:name w:val="Quote"/>
    <w:basedOn w:val="411"/>
    <w:next w:val="411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411"/>
    <w:next w:val="411"/>
    <w:link w:val="39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411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412"/>
    <w:link w:val="40"/>
    <w:uiPriority w:val="99"/>
  </w:style>
  <w:style w:type="paragraph" w:styleId="42">
    <w:name w:val="Footer"/>
    <w:basedOn w:val="411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412"/>
    <w:link w:val="42"/>
    <w:uiPriority w:val="99"/>
  </w:style>
  <w:style w:type="paragraph" w:styleId="44">
    <w:name w:val="Caption"/>
    <w:basedOn w:val="411"/>
    <w:next w:val="41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413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4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4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41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fill="FFFFFF"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fill="FFFFFF"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fill="FFFFFF"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fill="FFFFFF"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fill="FFFFFF"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fill="FFFFFF"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fill="FFFFFF"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fill="FFFFFF"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2">
    <w:name w:val="Lined - Accent 1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53">
    <w:name w:val="Lined - Accent 2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54">
    <w:name w:val="Lined - Accent 3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55">
    <w:name w:val="Lined - Accent 4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56">
    <w:name w:val="Lined - Accent 5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57">
    <w:name w:val="Lined - Accent 6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58">
    <w:name w:val="Bordered &amp; Lined - Accent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9">
    <w:name w:val="Bordered &amp; Lined - Accent 1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60">
    <w:name w:val="Bordered &amp; Lined - Accent 2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61">
    <w:name w:val="Bordered &amp; Lined - Accent 3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62">
    <w:name w:val="Bordered &amp; Lined - Accent 4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63">
    <w:name w:val="Bordered &amp; Lined - Accent 5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64">
    <w:name w:val="Bordered &amp; Lined - Accent 6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65">
    <w:name w:val="Bordered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411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412"/>
    <w:uiPriority w:val="99"/>
    <w:unhideWhenUsed/>
    <w:rPr>
      <w:vertAlign w:val="superscript"/>
    </w:rPr>
  </w:style>
  <w:style w:type="paragraph" w:styleId="176">
    <w:name w:val="endnote text"/>
    <w:basedOn w:val="411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412"/>
    <w:uiPriority w:val="99"/>
    <w:semiHidden/>
    <w:unhideWhenUsed/>
    <w:rPr>
      <w:vertAlign w:val="superscript"/>
    </w:rPr>
  </w:style>
  <w:style w:type="paragraph" w:styleId="179">
    <w:name w:val="toc 1"/>
    <w:basedOn w:val="411"/>
    <w:next w:val="411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411"/>
    <w:next w:val="411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411"/>
    <w:next w:val="411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411"/>
    <w:next w:val="411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411"/>
    <w:next w:val="411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411"/>
    <w:next w:val="411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411"/>
    <w:next w:val="411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411"/>
    <w:next w:val="411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411"/>
    <w:next w:val="411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411" w:default="1">
    <w:name w:val="Normal"/>
    <w:qFormat/>
    <w:rPr>
      <w:rFonts w:eastAsia="Calibri"/>
      <w:lang w:eastAsia="ru-RU"/>
    </w:rPr>
    <w:pPr>
      <w:spacing w:lineRule="auto" w:line="276" w:after="200"/>
    </w:pPr>
  </w:style>
  <w:style w:type="character" w:styleId="412" w:default="1">
    <w:name w:val="Default Paragraph Font"/>
    <w:uiPriority w:val="1"/>
    <w:semiHidden/>
    <w:unhideWhenUsed/>
  </w:style>
  <w:style w:type="table" w:styleId="4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414" w:default="1">
    <w:name w:val="No List"/>
    <w:uiPriority w:val="99"/>
    <w:semiHidden/>
    <w:unhideWhenUsed/>
  </w:style>
  <w:style w:type="paragraph" w:styleId="415" w:customStyle="1">
    <w:name w:val="ConsPlusNormal"/>
    <w:rPr>
      <w:rFonts w:ascii="Arial" w:hAnsi="Arial" w:cs="Arial"/>
      <w:sz w:val="20"/>
      <w:szCs w:val="20"/>
    </w:rPr>
    <w:pPr>
      <w:spacing w:lineRule="auto" w:line="240" w:after="0"/>
    </w:pPr>
  </w:style>
  <w:style w:type="paragraph" w:styleId="416" w:customStyle="1">
    <w:name w:val="ConsPlusNonformat"/>
    <w:uiPriority w:val="99"/>
    <w:rPr>
      <w:rFonts w:ascii="Courier New" w:hAnsi="Courier New" w:cs="Courier New"/>
      <w:sz w:val="20"/>
      <w:szCs w:val="20"/>
    </w:rPr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&#65279;<?xml version="1.0" encoding="UTF-8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3" Type="http://schemas.openxmlformats.org/officeDocument/2006/relationships/webSettings" Target="webSettings.xml"/>
	<Relationship Id="rId4" Type="http://schemas.openxmlformats.org/officeDocument/2006/relationships/fontTable" Target="fontTable.xml"/>
	<Relationship Id="rId5" Type="http://schemas.openxmlformats.org/officeDocument/2006/relationships/theme" Target="theme/theme1.xml"/>
	<Relationship Id="rId6" Type="http://schemas.openxmlformats.org/officeDocument/2006/relationships/footnotes" Target="footnotes.xml"/>
	<Relationship Id="rId7" Type="http://schemas.openxmlformats.org/officeDocument/2006/relationships/endnotes" Target="endnotes.xml"/><Relationship Target="media/image1.jpeg" Type="http://schemas.openxmlformats.org/officeDocument/2006/relationships/image" Id="rId8"/>
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Р7-Офис/6.1.0.56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 Anzhelika</dc:creator>
  <cp:keywords/>
  <dc:description/>
  <cp:revision>5</cp:revision>
  <dcterms:created xsi:type="dcterms:W3CDTF">2021-02-15T09:19:00Z</dcterms:created>
  <dcterms:modified xsi:type="dcterms:W3CDTF">2021-02-19T09:34:18Z</dcterms:modified>
</cp:coreProperties>
</file>